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B0" w:rsidRDefault="00D074B0" w:rsidP="00315FFF">
      <w:pPr>
        <w:bidi/>
        <w:jc w:val="center"/>
        <w:rPr>
          <w:rFonts w:cs="B Nazanin"/>
          <w:sz w:val="28"/>
          <w:szCs w:val="28"/>
          <w:lang w:bidi="fa-IR"/>
        </w:rPr>
      </w:pP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bookmarkStart w:id="0" w:name="_GoBack"/>
      <w:r w:rsidRPr="008F6880">
        <w:rPr>
          <w:rFonts w:cs="B Titr" w:hint="cs"/>
          <w:sz w:val="18"/>
          <w:rtl/>
        </w:rPr>
        <w:t>تعهد نامه عدم  شمول بخشنامه تعارض منافع</w:t>
      </w:r>
      <w:bookmarkEnd w:id="0"/>
      <w:r w:rsidRPr="008F6880">
        <w:rPr>
          <w:rFonts w:cs="B Titr" w:hint="cs"/>
          <w:sz w:val="18"/>
          <w:rtl/>
        </w:rPr>
        <w:t xml:space="preserve"> به شماره 100/50/33144/99مورخ 18/8/1399</w:t>
      </w:r>
    </w:p>
    <w:p w:rsidR="00AD1535" w:rsidRPr="00E86B31" w:rsidRDefault="00AD1535" w:rsidP="0044178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پیمان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نسبت به فسخ قرارداد و ضبط تضمین حسن انجام تعهدات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در اثر فسخ و تاخیر در اجرای کار (قرارداد ) 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</w:t>
      </w:r>
      <w:r>
        <w:rPr>
          <w:rFonts w:cs="B Titr"/>
          <w:sz w:val="16"/>
        </w:rPr>
        <w:t xml:space="preserve">                                                                                                </w:t>
      </w:r>
      <w:r w:rsidRPr="008F6880">
        <w:rPr>
          <w:rFonts w:cs="B Titr" w:hint="cs"/>
          <w:sz w:val="16"/>
          <w:rtl/>
        </w:rPr>
        <w:t xml:space="preserve">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65C"/>
    <w:rsid w:val="0017565C"/>
    <w:rsid w:val="00315FFF"/>
    <w:rsid w:val="003F5CBD"/>
    <w:rsid w:val="0044178E"/>
    <w:rsid w:val="004732F2"/>
    <w:rsid w:val="00533F7A"/>
    <w:rsid w:val="006F661C"/>
    <w:rsid w:val="008F6050"/>
    <w:rsid w:val="00901DCC"/>
    <w:rsid w:val="009637C8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se-gh-2 Nikja</cp:lastModifiedBy>
  <cp:revision>10</cp:revision>
  <dcterms:created xsi:type="dcterms:W3CDTF">2020-12-10T09:32:00Z</dcterms:created>
  <dcterms:modified xsi:type="dcterms:W3CDTF">2021-01-20T04:04:00Z</dcterms:modified>
</cp:coreProperties>
</file>