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418FF" w:rsidRPr="00177225" w:rsidRDefault="00C23F73" w:rsidP="001418FF">
      <w:pPr>
        <w:spacing w:line="300" w:lineRule="auto"/>
        <w:ind w:left="-1"/>
        <w:jc w:val="lowKashida"/>
        <w:rPr>
          <w:rFonts w:cs="B Titr"/>
          <w:sz w:val="18"/>
          <w:szCs w:val="18"/>
          <w:rtl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>با هر سایز و جنس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1418FF">
        <w:rPr>
          <w:rFonts w:cs="B Titr" w:hint="cs"/>
          <w:sz w:val="18"/>
          <w:szCs w:val="18"/>
          <w:rtl/>
        </w:rPr>
        <w:t>البرز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( شامل شهر </w:t>
      </w:r>
      <w:r w:rsidR="001418FF">
        <w:rPr>
          <w:rFonts w:cs="B Titr" w:hint="cs"/>
          <w:sz w:val="18"/>
          <w:szCs w:val="18"/>
          <w:rtl/>
        </w:rPr>
        <w:t>الوند، محمدیه و مهرگان، نصرت آباد، شریفیه، بیدستان، باورس و شترک</w:t>
      </w:r>
      <w:r w:rsidR="001418FF" w:rsidRPr="001148E5">
        <w:rPr>
          <w:rFonts w:cs="B Titr" w:hint="cs"/>
          <w:sz w:val="18"/>
          <w:szCs w:val="18"/>
          <w:rtl/>
        </w:rPr>
        <w:t xml:space="preserve"> و روستاهای تحت پوشش شهرستان </w:t>
      </w:r>
      <w:r w:rsidR="001418FF">
        <w:rPr>
          <w:rFonts w:cs="B Titr" w:hint="cs"/>
          <w:sz w:val="18"/>
          <w:szCs w:val="18"/>
          <w:rtl/>
        </w:rPr>
        <w:t>البرز.</w:t>
      </w:r>
    </w:p>
    <w:p w:rsidR="001148E5" w:rsidRDefault="001148E5" w:rsidP="001418FF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115265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15265">
        <w:rPr>
          <w:rFonts w:cs="B Zar" w:hint="cs"/>
          <w:b/>
          <w:bCs/>
          <w:sz w:val="28"/>
          <w:szCs w:val="28"/>
          <w:rtl/>
          <w:lang w:bidi="fa-IR"/>
        </w:rPr>
        <w:t>5/1/401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115265" w:rsidP="00115265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 w:rsidRPr="00115265">
        <w:rPr>
          <w:rFonts w:cs="B Davat" w:hint="cs"/>
          <w:b/>
          <w:bCs/>
          <w:sz w:val="36"/>
          <w:szCs w:val="36"/>
          <w:rtl/>
          <w:lang w:bidi="fa-IR"/>
        </w:rPr>
        <w:t>فروردین</w:t>
      </w:r>
      <w:r w:rsidR="0056639A" w:rsidRPr="00115265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 w:rsidRPr="00115265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Pr="00115265">
        <w:rPr>
          <w:rFonts w:cs="B Davat" w:hint="cs"/>
          <w:b/>
          <w:bCs/>
          <w:sz w:val="36"/>
          <w:szCs w:val="36"/>
          <w:rtl/>
          <w:lang w:bidi="fa-IR"/>
        </w:rPr>
        <w:t>1401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891431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891431" w:rsidRPr="00891431">
        <w:rPr>
          <w:rFonts w:cs="B Titr"/>
          <w:sz w:val="18"/>
          <w:szCs w:val="18"/>
          <w:rtl/>
        </w:rPr>
        <w:t>انجام خدمات و  تعم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رات</w:t>
      </w:r>
      <w:r w:rsidR="00891431" w:rsidRPr="00891431">
        <w:rPr>
          <w:rFonts w:cs="B Titr"/>
          <w:sz w:val="18"/>
          <w:szCs w:val="18"/>
          <w:rtl/>
        </w:rPr>
        <w:t xml:space="preserve"> ، نگهدار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، حراست و نگهبان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تاس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سات</w:t>
      </w:r>
      <w:r w:rsidR="00891431" w:rsidRPr="00891431">
        <w:rPr>
          <w:rFonts w:cs="B Titr"/>
          <w:sz w:val="18"/>
          <w:szCs w:val="18"/>
          <w:rtl/>
        </w:rPr>
        <w:t xml:space="preserve"> و تجه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زات</w:t>
      </w:r>
      <w:r w:rsidR="00891431" w:rsidRPr="00891431">
        <w:rPr>
          <w:rFonts w:cs="B Titr"/>
          <w:sz w:val="18"/>
          <w:szCs w:val="18"/>
          <w:rtl/>
        </w:rPr>
        <w:t xml:space="preserve"> ، رفع حوادث و اتفاقات شبکه توز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ع</w:t>
      </w:r>
      <w:r w:rsidR="00891431" w:rsidRPr="00891431">
        <w:rPr>
          <w:rFonts w:cs="B Titr"/>
          <w:sz w:val="18"/>
          <w:szCs w:val="18"/>
          <w:rtl/>
        </w:rPr>
        <w:t xml:space="preserve"> آب با هر سا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ز</w:t>
      </w:r>
      <w:r w:rsidR="00891431" w:rsidRPr="00891431">
        <w:rPr>
          <w:rFonts w:cs="B Titr"/>
          <w:sz w:val="18"/>
          <w:szCs w:val="18"/>
          <w:rtl/>
        </w:rPr>
        <w:t xml:space="preserve"> و جنس لوله و اجرا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خطوط انتقال و اصلاح شبکه آب در حوزه شهرستان البرز ( شامل شهر الوند، محمد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ه</w:t>
      </w:r>
      <w:r w:rsidR="00891431" w:rsidRPr="00891431">
        <w:rPr>
          <w:rFonts w:cs="B Titr"/>
          <w:sz w:val="18"/>
          <w:szCs w:val="18"/>
          <w:rtl/>
        </w:rPr>
        <w:t xml:space="preserve"> و مهرگان، نصرت آباد، شر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ف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ه،</w:t>
      </w:r>
      <w:r w:rsidR="00891431" w:rsidRPr="00891431">
        <w:rPr>
          <w:rFonts w:cs="B Titr"/>
          <w:sz w:val="18"/>
          <w:szCs w:val="18"/>
          <w:rtl/>
        </w:rPr>
        <w:t xml:space="preserve"> ب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دستان،</w:t>
      </w:r>
      <w:r w:rsidR="00891431" w:rsidRPr="00891431">
        <w:rPr>
          <w:rFonts w:cs="B Titr"/>
          <w:sz w:val="18"/>
          <w:szCs w:val="18"/>
          <w:rtl/>
        </w:rPr>
        <w:t xml:space="preserve"> باورس و </w:t>
      </w:r>
      <w:r w:rsidR="00891431" w:rsidRPr="00891431">
        <w:rPr>
          <w:rFonts w:cs="B Titr" w:hint="eastAsia"/>
          <w:sz w:val="18"/>
          <w:szCs w:val="18"/>
          <w:rtl/>
        </w:rPr>
        <w:t>شترک</w:t>
      </w:r>
      <w:r w:rsidR="00891431" w:rsidRPr="00891431">
        <w:rPr>
          <w:rFonts w:cs="B Titr"/>
          <w:sz w:val="18"/>
          <w:szCs w:val="18"/>
          <w:rtl/>
        </w:rPr>
        <w:t xml:space="preserve"> و روستاها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تحت پوشش شهرستان البرز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711082965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5C62AA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</w:t>
      </w:r>
      <w:r w:rsidR="005C62AA">
        <w:rPr>
          <w:rFonts w:cs="B Nazanin" w:hint="cs"/>
          <w:b/>
          <w:bCs/>
          <w:rtl/>
          <w:lang w:bidi="fa-IR"/>
        </w:rPr>
        <w:t>ده</w:t>
      </w:r>
      <w:r w:rsidRPr="007C4C4E">
        <w:rPr>
          <w:rFonts w:cs="B Nazanin" w:hint="cs"/>
          <w:b/>
          <w:bCs/>
          <w:rtl/>
          <w:lang w:bidi="fa-IR"/>
        </w:rPr>
        <w:t xml:space="preserve">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1A2DD4">
        <w:rPr>
          <w:rFonts w:cs="B Nazanin" w:hint="cs"/>
          <w:b/>
          <w:bCs/>
          <w:rtl/>
          <w:lang w:bidi="fa-IR"/>
        </w:rPr>
        <w:t>حداکثر</w:t>
      </w:r>
      <w:r w:rsidR="005C62AA" w:rsidRPr="001A2DD4">
        <w:rPr>
          <w:rFonts w:cs="B Nazanin" w:hint="cs"/>
          <w:b/>
          <w:bCs/>
          <w:rtl/>
          <w:lang w:bidi="fa-IR"/>
        </w:rPr>
        <w:t xml:space="preserve"> </w:t>
      </w:r>
      <w:r w:rsidR="005C62AA">
        <w:rPr>
          <w:rFonts w:cs="B Nazanin" w:hint="cs"/>
          <w:b/>
          <w:bCs/>
          <w:rtl/>
          <w:lang w:bidi="fa-IR"/>
        </w:rPr>
        <w:t>ده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</w:t>
      </w:r>
      <w:r w:rsidR="005C62AA">
        <w:rPr>
          <w:rFonts w:cs="B Nazanin" w:hint="cs"/>
          <w:b/>
          <w:bCs/>
          <w:rtl/>
          <w:lang w:bidi="fa-IR"/>
        </w:rPr>
        <w:t>10</w:t>
      </w:r>
      <w:r w:rsidRPr="00B72DF8">
        <w:rPr>
          <w:rFonts w:cs="B Nazanin" w:hint="cs"/>
          <w:b/>
          <w:bCs/>
          <w:rtl/>
          <w:lang w:bidi="fa-IR"/>
        </w:rPr>
        <w:t xml:space="preserve">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5C62AA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5C62AA">
        <w:rPr>
          <w:rFonts w:cs="B Titr" w:hint="cs"/>
          <w:b/>
          <w:bCs/>
          <w:rtl/>
          <w:lang w:bidi="fa-IR"/>
        </w:rPr>
        <w:t>10</w:t>
      </w:r>
      <w:r w:rsidR="001E7928" w:rsidRPr="00F10BBA">
        <w:rPr>
          <w:rFonts w:cs="B Titr" w:hint="cs"/>
          <w:b/>
          <w:bCs/>
          <w:rtl/>
          <w:lang w:bidi="fa-IR"/>
        </w:rPr>
        <w:t xml:space="preserve">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8C140C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791FF8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</w:t>
            </w:r>
            <w:r w:rsidR="008C140C">
              <w:rPr>
                <w:rFonts w:cs="B Nazanin" w:hint="cs"/>
                <w:sz w:val="18"/>
                <w:szCs w:val="18"/>
                <w:rtl/>
              </w:rPr>
              <w:t xml:space="preserve"> مشتمل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در زمینه امداد و حوادث و رفع حوادث شبکه آب شرب و </w:t>
            </w:r>
            <w:r w:rsidR="008C140C"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حوادث خطوط انتقال و چاهها و تاسیسات آب شرب حداقل به مبلغ </w:t>
            </w:r>
            <w:r w:rsidR="00791FF8"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8C140C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791FF8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</w:t>
            </w:r>
            <w:r w:rsidR="00034C71">
              <w:rPr>
                <w:rFonts w:cs="B Mitra" w:hint="cs"/>
                <w:sz w:val="18"/>
                <w:szCs w:val="18"/>
                <w:rtl/>
              </w:rPr>
              <w:t>مشتمل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در زمینه اصلاح و توسعه شبکه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 آب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و </w:t>
            </w:r>
            <w:r w:rsidR="00525CA9">
              <w:rPr>
                <w:rFonts w:cs="B Mitra" w:hint="cs"/>
                <w:sz w:val="18"/>
                <w:szCs w:val="18"/>
                <w:rtl/>
              </w:rPr>
              <w:t>یا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خطوط</w:t>
            </w:r>
            <w:r w:rsidR="005742E1">
              <w:rPr>
                <w:rFonts w:cs="B Mitra" w:hint="cs"/>
                <w:sz w:val="18"/>
                <w:szCs w:val="18"/>
                <w:rtl/>
              </w:rPr>
              <w:t xml:space="preserve"> انتقال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آب و فاضلاب و 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امور مشترکین و نصب انشعابات  شبکه آب و فاضلاب و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 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</w:t>
            </w:r>
            <w:r w:rsidR="00791FF8">
              <w:rPr>
                <w:rFonts w:cs="B Mitra" w:hint="cs"/>
                <w:sz w:val="18"/>
                <w:szCs w:val="18"/>
                <w:rtl/>
              </w:rPr>
              <w:t>ده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8C140C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 w:rsidRPr="001A2DD4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7B019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7B0199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1401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 w:rsidRPr="001A2DD4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</w:t>
      </w:r>
      <w:r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.8</w:t>
      </w:r>
      <w:r w:rsidR="00DE22B9"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1A2DD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="001A2DD4">
        <w:rPr>
          <w:rFonts w:cs="B Nazanin" w:hint="cs"/>
          <w:rtl/>
          <w:lang w:bidi="fa-IR"/>
        </w:rPr>
        <w:t>ده</w:t>
      </w:r>
      <w:r w:rsidRPr="00DB47AD">
        <w:rPr>
          <w:rFonts w:cs="B Nazanin" w:hint="cs"/>
          <w:rtl/>
          <w:lang w:bidi="fa-IR"/>
        </w:rPr>
        <w:t xml:space="preserve">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</w:t>
      </w:r>
      <w:r w:rsidR="00872470" w:rsidRPr="001A2DD4">
        <w:rPr>
          <w:rFonts w:cs="B Nazanin" w:hint="cs"/>
          <w:b/>
          <w:bCs/>
          <w:rtl/>
          <w:lang w:bidi="fa-IR"/>
        </w:rPr>
        <w:t>حداکثر</w:t>
      </w:r>
      <w:r w:rsidR="001A2DD4" w:rsidRPr="001A2DD4">
        <w:rPr>
          <w:rFonts w:cs="B Nazanin" w:hint="cs"/>
          <w:b/>
          <w:bCs/>
          <w:rtl/>
          <w:lang w:bidi="fa-IR"/>
        </w:rPr>
        <w:t xml:space="preserve"> </w:t>
      </w:r>
      <w:r w:rsidR="001A2DD4">
        <w:rPr>
          <w:rFonts w:cs="B Nazanin" w:hint="cs"/>
          <w:b/>
          <w:bCs/>
          <w:rtl/>
          <w:lang w:bidi="fa-IR"/>
        </w:rPr>
        <w:t>ده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894055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</w:t>
      </w:r>
      <w:r w:rsidR="00894055">
        <w:rPr>
          <w:rFonts w:cs="B Nazanin" w:hint="cs"/>
          <w:b/>
          <w:bCs/>
          <w:rtl/>
        </w:rPr>
        <w:t>2</w:t>
      </w:r>
      <w:r w:rsidR="008879BE">
        <w:rPr>
          <w:rFonts w:cs="B Nazanin" w:hint="cs"/>
          <w:b/>
          <w:bCs/>
          <w:rtl/>
        </w:rPr>
        <w:t xml:space="preserve">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894055" w:rsidRDefault="00FF6753" w:rsidP="00397BF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sz w:val="20"/>
          <w:szCs w:val="20"/>
          <w:lang w:bidi="fa-IR"/>
        </w:rPr>
      </w:pPr>
      <w:r w:rsidRPr="00894055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894055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894055" w:rsidRP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تذکر</w:t>
      </w:r>
      <w:r w:rsid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: 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در صورت كه مناقصه گران، حداکثر در </w:t>
      </w:r>
      <w:r w:rsid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گذشته، از كارفرمايان خود (برای کارهایی که تاریخ تحویل موقت قرارداد و یا تایید صورت وضعیت قطعی به مدت حداکثر </w:t>
      </w:r>
      <w:r w:rsidR="00397BFB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تمام  قبل  از تاریخ آخرین مهلت تحویل پیشنهاد قیمت مناقصه حاضرباشند) هرگونه اخطار و يا نامه نارضايتي و يا ابلاغ فسخ پیمان را با امضای بالاترین مقام دستگاه اجرایی(کارفرما) دريافت كرده باشند و در اسناد ارائه داده باشند و یا اینکه مناقصه گزار به هر طریقی از موارد موصوف اطلاع پیدا نماید، بابت هر كدام از موارد فوق و با توجه به تعداد قراردادهای منعقده مربوطه (دارای شرایط مذکور)، 30 امتياز منفي در محاسبه امتیاز کل ارزیابی فنی بازرگانی مناقصه گر مربوطه در نظر گرفته مي شود .</w:t>
      </w:r>
    </w:p>
    <w:p w:rsidR="00852AB1" w:rsidRPr="00636A44" w:rsidRDefault="00852AB1" w:rsidP="00894055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3F059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 xml:space="preserve">حسن انجام كار در كارهاي اجرا شده طي </w:t>
      </w:r>
      <w:r w:rsidR="003F0597">
        <w:rPr>
          <w:rFonts w:cs="B Titr" w:hint="cs"/>
          <w:b/>
          <w:bCs/>
          <w:rtl/>
          <w:lang w:bidi="fa-IR"/>
        </w:rPr>
        <w:t>10</w:t>
      </w:r>
      <w:r w:rsidR="001E7928" w:rsidRPr="000A7E9A">
        <w:rPr>
          <w:rFonts w:cs="B Titr" w:hint="cs"/>
          <w:b/>
          <w:bCs/>
          <w:rtl/>
          <w:lang w:bidi="fa-IR"/>
        </w:rPr>
        <w:t xml:space="preserve">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CA6D2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CA6D2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10</w:t>
            </w: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8D4ECA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41341D">
        <w:rPr>
          <w:rFonts w:cs="B Nazanin" w:hint="cs"/>
          <w:b/>
          <w:bCs/>
          <w:rtl/>
          <w:lang w:bidi="fa-IR"/>
        </w:rPr>
        <w:t>ده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سال گذشته</w:t>
      </w:r>
      <w:r w:rsidR="008D4ECA">
        <w:rPr>
          <w:rFonts w:cs="B Nazanin" w:hint="cs"/>
          <w:b/>
          <w:bCs/>
          <w:rtl/>
          <w:lang w:bidi="fa-IR"/>
        </w:rPr>
        <w:t xml:space="preserve">(اطلاعاتی که 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تاریخ </w:t>
      </w:r>
      <w:r w:rsidR="008D4ECA">
        <w:rPr>
          <w:rFonts w:cs="B Nazanin" w:hint="cs"/>
          <w:b/>
          <w:bCs/>
          <w:rtl/>
          <w:lang w:bidi="fa-IR"/>
        </w:rPr>
        <w:t>آنها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به مدت </w:t>
      </w:r>
      <w:r w:rsidR="008D4ECA" w:rsidRPr="001A2DD4">
        <w:rPr>
          <w:rFonts w:cs="B Nazanin" w:hint="cs"/>
          <w:b/>
          <w:bCs/>
          <w:rtl/>
          <w:lang w:bidi="fa-IR"/>
        </w:rPr>
        <w:t xml:space="preserve">حداکثر </w:t>
      </w:r>
      <w:r w:rsidR="008D4ECA">
        <w:rPr>
          <w:rFonts w:cs="B Nazanin" w:hint="cs"/>
          <w:b/>
          <w:bCs/>
          <w:rtl/>
          <w:lang w:bidi="fa-IR"/>
        </w:rPr>
        <w:t>ده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8D4ECA">
        <w:rPr>
          <w:rFonts w:cs="B Nazanin" w:hint="cs"/>
          <w:b/>
          <w:bCs/>
          <w:rtl/>
          <w:lang w:bidi="fa-IR"/>
        </w:rPr>
        <w:t xml:space="preserve"> 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D4ECA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</w:t>
      </w:r>
      <w:bookmarkStart w:id="0" w:name="_GoBack"/>
      <w:bookmarkEnd w:id="0"/>
      <w:r w:rsidRPr="00374E1D">
        <w:rPr>
          <w:rFonts w:cs="B Nazanin" w:hint="cs"/>
          <w:b/>
          <w:bCs/>
          <w:rtl/>
          <w:lang w:bidi="fa-IR"/>
        </w:rPr>
        <w:t>-</w:t>
      </w:r>
      <w:r w:rsidR="001E7928" w:rsidRPr="00374E1D">
        <w:rPr>
          <w:rFonts w:cs="B Nazanin" w:hint="cs"/>
          <w:b/>
          <w:bCs/>
          <w:rtl/>
          <w:lang w:bidi="fa-IR"/>
        </w:rPr>
        <w:t xml:space="preserve"> 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پنجاه برابر </w:t>
      </w:r>
      <w:r w:rsidRPr="00374E1D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 هفتاد برابر </w:t>
      </w:r>
      <w:r w:rsidRPr="00374E1D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Default="00194E17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tbl>
      <w:tblPr>
        <w:bidiVisual/>
        <w:tblW w:w="56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67"/>
        <w:gridCol w:w="660"/>
        <w:gridCol w:w="705"/>
        <w:gridCol w:w="728"/>
        <w:gridCol w:w="800"/>
        <w:gridCol w:w="754"/>
        <w:gridCol w:w="702"/>
        <w:gridCol w:w="754"/>
        <w:gridCol w:w="882"/>
        <w:gridCol w:w="797"/>
        <w:gridCol w:w="781"/>
        <w:gridCol w:w="771"/>
        <w:gridCol w:w="1231"/>
        <w:gridCol w:w="1411"/>
        <w:gridCol w:w="1937"/>
      </w:tblGrid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202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یک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دو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23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5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چهار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پنج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5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شش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هفت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70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هشت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4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نه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9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377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432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593" w:type="pct"/>
            <w:shd w:val="clear" w:color="auto" w:fill="FFFF00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674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600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929" w:type="pct"/>
            <w:gridSpan w:val="12"/>
            <w:vAlign w:val="center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505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929" w:type="pct"/>
            <w:gridSpan w:val="12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BB4C9E" w:rsidRDefault="00BB4C9E" w:rsidP="002032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8D4ECA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8D4ECA">
        <w:rPr>
          <w:rFonts w:ascii="BTitrBold" w:cs="B Mitra" w:hint="cs"/>
          <w:b/>
          <w:bCs/>
          <w:rtl/>
        </w:rPr>
        <w:t>10</w:t>
      </w:r>
      <w:r w:rsidRPr="00BB4C9E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D36041" w:rsidRPr="00D36041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8C140C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5C63BC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 w:rsidRPr="005C63BC">
        <w:rPr>
          <w:rFonts w:ascii="BTitrBold" w:cs="B Mitra"/>
          <w:b/>
          <w:bCs/>
        </w:rPr>
        <w:t>-</w:t>
      </w:r>
      <w:r w:rsidR="007E52F4" w:rsidRPr="005C63BC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Pr="005C63BC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 w:rsidRPr="005C63BC">
        <w:rPr>
          <w:rFonts w:ascii="BTitrBold" w:cs="B Mitra" w:hint="cs"/>
          <w:b/>
          <w:bCs/>
          <w:rtl/>
        </w:rPr>
        <w:t xml:space="preserve">- </w:t>
      </w:r>
      <w:r w:rsidR="007E52F4" w:rsidRPr="005C63BC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 w:rsidRPr="005C63BC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 w:rsidRPr="005C63BC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 w:rsidRPr="005C63BC">
        <w:rPr>
          <w:rFonts w:ascii="BTitrBold" w:cs="B Mitra" w:hint="cs"/>
          <w:b/>
          <w:bCs/>
          <w:rtl/>
        </w:rPr>
        <w:t xml:space="preserve"> )</w:t>
      </w:r>
      <w:r w:rsidR="007E52F4" w:rsidRPr="005C63BC">
        <w:rPr>
          <w:rFonts w:ascii="BTitrBold" w:cs="B Mitra" w:hint="cs"/>
          <w:b/>
          <w:bCs/>
          <w:rtl/>
        </w:rPr>
        <w:t>الزامیست.</w:t>
      </w:r>
      <w:r w:rsidR="00C37E4F" w:rsidRPr="005C63BC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 w:rsidRPr="005C63BC">
        <w:rPr>
          <w:rFonts w:ascii="BTitrBold" w:cs="B Mitra" w:hint="cs"/>
          <w:b/>
          <w:bCs/>
          <w:rtl/>
        </w:rPr>
        <w:t xml:space="preserve"> ،</w:t>
      </w:r>
      <w:r w:rsidR="00C37E4F" w:rsidRPr="005C63BC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 w:rsidRPr="005C63BC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5C63BC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5C63BC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5C63BC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 w:rsidRPr="005C63BC">
        <w:rPr>
          <w:rFonts w:ascii="BTitrBold" w:cs="B Mitra" w:hint="cs"/>
          <w:b/>
          <w:bCs/>
          <w:color w:val="FF0000"/>
          <w:rtl/>
        </w:rPr>
        <w:t>تجهیزات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5C63BC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 w:rsidRPr="005C63BC">
        <w:rPr>
          <w:rFonts w:ascii="BTitrBold" w:cs="B Mitra" w:hint="cs"/>
          <w:b/>
          <w:bCs/>
          <w:color w:val="FF0000"/>
          <w:rtl/>
        </w:rPr>
        <w:t>80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 درصد امتياز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3125C1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</w:t>
      </w:r>
      <w:r w:rsidR="0041341D">
        <w:rPr>
          <w:rFonts w:cs="B Nazanin" w:hint="cs"/>
          <w:b/>
          <w:bCs/>
          <w:sz w:val="22"/>
          <w:szCs w:val="22"/>
          <w:rtl/>
          <w:lang w:bidi="fa-IR"/>
        </w:rPr>
        <w:t>ده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</w:t>
      </w:r>
      <w:r w:rsidR="00B74703" w:rsidRPr="0041341D">
        <w:rPr>
          <w:rFonts w:cs="B Nazanin" w:hint="cs"/>
          <w:b/>
          <w:bCs/>
          <w:rtl/>
          <w:lang w:bidi="fa-IR"/>
        </w:rPr>
        <w:t>حداکثر</w:t>
      </w:r>
      <w:r w:rsidR="0041341D" w:rsidRPr="0041341D">
        <w:rPr>
          <w:rFonts w:cs="B Nazanin" w:hint="cs"/>
          <w:b/>
          <w:bCs/>
          <w:rtl/>
          <w:lang w:bidi="fa-IR"/>
        </w:rPr>
        <w:t xml:space="preserve"> </w:t>
      </w:r>
      <w:r w:rsidR="0041341D">
        <w:rPr>
          <w:rFonts w:cs="B Nazanin" w:hint="cs"/>
          <w:b/>
          <w:bCs/>
          <w:rtl/>
          <w:lang w:bidi="fa-IR"/>
        </w:rPr>
        <w:t>ده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3125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15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41341D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</w:t>
      </w:r>
      <w:r w:rsidR="0041341D">
        <w:rPr>
          <w:rFonts w:cs="B Titr" w:hint="cs"/>
          <w:sz w:val="18"/>
          <w:szCs w:val="18"/>
          <w:rtl/>
          <w:lang w:bidi="fa-IR"/>
        </w:rPr>
        <w:t>10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0C22A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="000C22A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41341D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</w:t>
      </w:r>
      <w:r w:rsidR="0041341D">
        <w:rPr>
          <w:rFonts w:ascii="BTitrBold" w:cs="B Mitra" w:hint="cs"/>
          <w:b/>
          <w:bCs/>
          <w:sz w:val="24"/>
          <w:szCs w:val="24"/>
          <w:rtl/>
        </w:rPr>
        <w:t>10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</w:t>
      </w:r>
      <w:r w:rsidR="00C613FC" w:rsidRPr="008C140C">
        <w:rPr>
          <w:rFonts w:cs="B Nazanin" w:hint="cs"/>
          <w:b/>
          <w:bCs/>
          <w:rtl/>
          <w:lang w:bidi="fa-IR"/>
        </w:rPr>
        <w:t>قطعی به مدت حداکثر</w:t>
      </w:r>
      <w:r w:rsidR="0041341D" w:rsidRPr="008C140C">
        <w:rPr>
          <w:rFonts w:cs="B Nazanin" w:hint="cs"/>
          <w:b/>
          <w:bCs/>
          <w:rtl/>
          <w:lang w:bidi="fa-IR"/>
        </w:rPr>
        <w:t xml:space="preserve"> ده</w:t>
      </w:r>
      <w:r w:rsidR="00C613FC" w:rsidRPr="008C140C">
        <w:rPr>
          <w:rFonts w:cs="B Nazanin" w:hint="cs"/>
          <w:b/>
          <w:bCs/>
          <w:rtl/>
          <w:lang w:bidi="fa-IR"/>
        </w:rPr>
        <w:t xml:space="preserve"> سال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8C140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8C140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8C140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8C140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8C140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8C140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8C140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8C140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8C140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C140C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8C140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8C140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711082966" r:id="rId12"/>
              </w:object>
            </w:r>
          </w:p>
        </w:tc>
      </w:tr>
      <w:tr w:rsidR="0045197C" w:rsidRPr="00D84F0A" w:rsidTr="008C140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7D0665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711082969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711082967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711082968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665" w:rsidRDefault="007D0665">
      <w:r>
        <w:separator/>
      </w:r>
    </w:p>
  </w:endnote>
  <w:endnote w:type="continuationSeparator" w:id="0">
    <w:p w:rsidR="007D0665" w:rsidRDefault="007D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4E1D">
      <w:rPr>
        <w:noProof/>
        <w:rtl/>
      </w:rPr>
      <w:t>26</w:t>
    </w:r>
    <w:r>
      <w:rPr>
        <w:noProof/>
      </w:rPr>
      <w:fldChar w:fldCharType="end"/>
    </w:r>
  </w:p>
  <w:p w:rsidR="008C140C" w:rsidRDefault="008C14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C140C" w:rsidRDefault="008C14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74E1D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8C140C" w:rsidRDefault="008C14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665" w:rsidRDefault="007D0665">
      <w:r>
        <w:separator/>
      </w:r>
    </w:p>
  </w:footnote>
  <w:footnote w:type="continuationSeparator" w:id="0">
    <w:p w:rsidR="007D0665" w:rsidRDefault="007D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C71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22AA"/>
    <w:rsid w:val="000C65BA"/>
    <w:rsid w:val="000C7DAD"/>
    <w:rsid w:val="000D57D8"/>
    <w:rsid w:val="000D63FB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1526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18FF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2DD4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4C"/>
    <w:rsid w:val="001E076C"/>
    <w:rsid w:val="001E0C84"/>
    <w:rsid w:val="001E1012"/>
    <w:rsid w:val="001E367D"/>
    <w:rsid w:val="001E7928"/>
    <w:rsid w:val="001F1AA7"/>
    <w:rsid w:val="001F736D"/>
    <w:rsid w:val="00201FC3"/>
    <w:rsid w:val="0020329C"/>
    <w:rsid w:val="00205ACA"/>
    <w:rsid w:val="00206720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125C1"/>
    <w:rsid w:val="00325301"/>
    <w:rsid w:val="003323F2"/>
    <w:rsid w:val="003334D5"/>
    <w:rsid w:val="00335401"/>
    <w:rsid w:val="00335AF8"/>
    <w:rsid w:val="003413D1"/>
    <w:rsid w:val="003422A1"/>
    <w:rsid w:val="003462FE"/>
    <w:rsid w:val="0035258D"/>
    <w:rsid w:val="0035387A"/>
    <w:rsid w:val="00356B87"/>
    <w:rsid w:val="00360628"/>
    <w:rsid w:val="00364232"/>
    <w:rsid w:val="00365EFC"/>
    <w:rsid w:val="0037015A"/>
    <w:rsid w:val="00374E1D"/>
    <w:rsid w:val="00384464"/>
    <w:rsid w:val="00385802"/>
    <w:rsid w:val="00390F6C"/>
    <w:rsid w:val="00391F7A"/>
    <w:rsid w:val="0039665C"/>
    <w:rsid w:val="00397BFB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153F"/>
    <w:rsid w:val="003E3D02"/>
    <w:rsid w:val="003E52DD"/>
    <w:rsid w:val="003E5979"/>
    <w:rsid w:val="003F0597"/>
    <w:rsid w:val="003F2E9E"/>
    <w:rsid w:val="003F49AA"/>
    <w:rsid w:val="003F7943"/>
    <w:rsid w:val="004008D4"/>
    <w:rsid w:val="00405C05"/>
    <w:rsid w:val="004064FB"/>
    <w:rsid w:val="004131D5"/>
    <w:rsid w:val="00413281"/>
    <w:rsid w:val="0041341D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55C9F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5CA9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742E1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2AA"/>
    <w:rsid w:val="005C63BC"/>
    <w:rsid w:val="005C6CBB"/>
    <w:rsid w:val="005C6DBF"/>
    <w:rsid w:val="005D17A1"/>
    <w:rsid w:val="005D50CE"/>
    <w:rsid w:val="005E493F"/>
    <w:rsid w:val="005F234D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76C88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661C0"/>
    <w:rsid w:val="00780795"/>
    <w:rsid w:val="00780C35"/>
    <w:rsid w:val="0078263A"/>
    <w:rsid w:val="00791B28"/>
    <w:rsid w:val="00791FF8"/>
    <w:rsid w:val="00796988"/>
    <w:rsid w:val="007A2BB2"/>
    <w:rsid w:val="007A3755"/>
    <w:rsid w:val="007A4F89"/>
    <w:rsid w:val="007B0199"/>
    <w:rsid w:val="007B56CB"/>
    <w:rsid w:val="007B6087"/>
    <w:rsid w:val="007C1CB0"/>
    <w:rsid w:val="007C2D4A"/>
    <w:rsid w:val="007C4786"/>
    <w:rsid w:val="007C4C4E"/>
    <w:rsid w:val="007C5C9F"/>
    <w:rsid w:val="007C5D7B"/>
    <w:rsid w:val="007D0665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212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431"/>
    <w:rsid w:val="0089178E"/>
    <w:rsid w:val="0089226C"/>
    <w:rsid w:val="00892E07"/>
    <w:rsid w:val="00893F33"/>
    <w:rsid w:val="00894055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40C"/>
    <w:rsid w:val="008C1CB2"/>
    <w:rsid w:val="008C2CAE"/>
    <w:rsid w:val="008C328C"/>
    <w:rsid w:val="008C76BB"/>
    <w:rsid w:val="008D3A54"/>
    <w:rsid w:val="008D4ECA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6B2F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56FE5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076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A6D28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217"/>
    <w:rsid w:val="00E334C7"/>
    <w:rsid w:val="00E408C1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1DE9"/>
    <w:rsid w:val="00EC56ED"/>
    <w:rsid w:val="00ED18A5"/>
    <w:rsid w:val="00ED274B"/>
    <w:rsid w:val="00ED73CB"/>
    <w:rsid w:val="00EE5A6B"/>
    <w:rsid w:val="00EF2766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715CA15F-B54E-426D-89AC-602498B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671F28-0B41-4A5E-B8E4-5F4701DC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27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365</cp:revision>
  <cp:lastPrinted>2021-01-30T10:50:00Z</cp:lastPrinted>
  <dcterms:created xsi:type="dcterms:W3CDTF">2020-01-28T11:15:00Z</dcterms:created>
  <dcterms:modified xsi:type="dcterms:W3CDTF">2022-04-10T03:32:00Z</dcterms:modified>
</cp:coreProperties>
</file>