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 w:hint="cs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</w:t>
      </w:r>
      <w:r w:rsidR="00731C86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C650C3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1148E5" w:rsidRDefault="00C23F73" w:rsidP="001148E5">
      <w:pPr>
        <w:spacing w:line="300" w:lineRule="auto"/>
        <w:ind w:left="-1"/>
        <w:jc w:val="lowKashida"/>
        <w:rPr>
          <w:rFonts w:ascii="Arial" w:hAnsi="Arial" w:cs="B Titr"/>
          <w:sz w:val="22"/>
          <w:szCs w:val="22"/>
          <w:rtl/>
          <w:lang w:bidi="fa-IR"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843F0" w:rsidRPr="00B01283">
        <w:rPr>
          <w:rFonts w:cs="B Mitra" w:hint="cs"/>
          <w:sz w:val="28"/>
          <w:szCs w:val="2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 آبیک و شهر خاکعلی  و روستاهای تحت پوشش شهرستان آبیک و شهرک صنعتی (52 روستا)</w:t>
      </w:r>
    </w:p>
    <w:p w:rsidR="00D84F0A" w:rsidRPr="007C4786" w:rsidRDefault="00D84F0A" w:rsidP="001148E5">
      <w:pPr>
        <w:ind w:left="425"/>
        <w:jc w:val="lowKashida"/>
        <w:rPr>
          <w:rFonts w:cs="B Zar"/>
          <w:b/>
          <w:bCs/>
          <w:sz w:val="22"/>
          <w:szCs w:val="22"/>
          <w:rtl/>
          <w:lang w:bidi="fa-IR"/>
        </w:rPr>
      </w:pPr>
    </w:p>
    <w:p w:rsidR="00D84F0A" w:rsidRPr="00892E07" w:rsidRDefault="00FB5DD5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AF4A78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 </w:t>
      </w:r>
      <w:r w:rsidR="00AF4A78">
        <w:rPr>
          <w:rFonts w:cs="B Zar" w:hint="cs"/>
          <w:b/>
          <w:bCs/>
          <w:sz w:val="28"/>
          <w:szCs w:val="28"/>
          <w:rtl/>
          <w:lang w:bidi="fa-IR"/>
        </w:rPr>
        <w:t>45</w:t>
      </w:r>
      <w:r w:rsidR="00B26939" w:rsidRPr="008371FB">
        <w:rPr>
          <w:rFonts w:cs="B Zar" w:hint="cs"/>
          <w:b/>
          <w:bCs/>
          <w:sz w:val="28"/>
          <w:szCs w:val="28"/>
          <w:rtl/>
          <w:lang w:bidi="fa-IR"/>
        </w:rPr>
        <w:t>/99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AF4A7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آبان</w:t>
      </w:r>
      <w:bookmarkStart w:id="0" w:name="_GoBack"/>
      <w:bookmarkEnd w:id="0"/>
      <w:r w:rsidR="00467C2D" w:rsidRPr="008371FB">
        <w:rPr>
          <w:rFonts w:cs="B Davat" w:hint="cs"/>
          <w:b/>
          <w:bCs/>
          <w:sz w:val="36"/>
          <w:szCs w:val="36"/>
          <w:rtl/>
          <w:lang w:bidi="fa-IR"/>
        </w:rPr>
        <w:t xml:space="preserve"> </w:t>
      </w:r>
      <w:r w:rsidR="00FC4FA2" w:rsidRPr="008371FB">
        <w:rPr>
          <w:rFonts w:cs="B Davat" w:hint="cs"/>
          <w:b/>
          <w:bCs/>
          <w:sz w:val="36"/>
          <w:szCs w:val="36"/>
          <w:rtl/>
          <w:lang w:bidi="fa-IR"/>
        </w:rPr>
        <w:t xml:space="preserve">ماه </w:t>
      </w:r>
      <w:r w:rsidR="00624266" w:rsidRPr="008371FB">
        <w:rPr>
          <w:rFonts w:cs="B Davat" w:hint="cs"/>
          <w:b/>
          <w:bCs/>
          <w:sz w:val="36"/>
          <w:szCs w:val="36"/>
          <w:rtl/>
          <w:lang w:bidi="fa-IR"/>
        </w:rPr>
        <w:t>1399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Pr="00205ACA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892E07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 xml:space="preserve"> </w:t>
      </w:r>
      <w:r w:rsidR="00A16006"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252687" w:rsidRPr="00B12F5F" w:rsidRDefault="0047002C" w:rsidP="001148E5">
      <w:pPr>
        <w:ind w:left="425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پیمانکار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B05A64" w:rsidRPr="00B12F5F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B05A64" w:rsidRPr="009C2D46">
        <w:rPr>
          <w:rFonts w:ascii="BTitrBold" w:cs="B Nazanin" w:hint="cs"/>
          <w:b/>
          <w:bCs/>
          <w:color w:val="FF0000"/>
          <w:highlight w:val="yellow"/>
          <w:u w:val="single"/>
          <w:rtl/>
          <w:lang w:bidi="fa-IR"/>
        </w:rPr>
        <w:t xml:space="preserve">پروژه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 آبیک و شهر خاکعلی  و روستاهای تحت پوشش شهرستان آبیک و شهرک صنعتی (52 روستا)</w:t>
      </w:r>
      <w:r w:rsidR="007C4786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7C4786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B05A64" w:rsidRPr="00B12F5F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کلیه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اطلاعات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مهر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امضاء توسط صاحبان مجاز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037820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B05A64" w:rsidRPr="00B12F5F">
        <w:rPr>
          <w:rFonts w:cs="B Nazanin" w:hint="cs"/>
          <w:b/>
          <w:bCs/>
          <w:rtl/>
        </w:rPr>
        <w:t xml:space="preserve">  </w:t>
      </w:r>
      <w:r w:rsidR="00B05A64" w:rsidRPr="00B12F5F">
        <w:rPr>
          <w:rFonts w:ascii="BTitrBold" w:cs="B Nazanin" w:hint="cs"/>
          <w:b/>
          <w:bCs/>
          <w:rtl/>
        </w:rPr>
        <w:t xml:space="preserve">ارسال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نمایید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ضمناً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ارتباط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موارد مشروحه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/>
          <w:b/>
          <w:bCs/>
        </w:rPr>
        <w:t xml:space="preserve"> 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جهت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B05A64" w:rsidRDefault="00B72DF8" w:rsidP="00037820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DC7C4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  <w:r w:rsidR="00273F0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F376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Pr="005D50CE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3F7943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10</w:t>
      </w:r>
      <w:r w:rsidRPr="00467C2D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lastRenderedPageBreak/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BC42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="001B269F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 w:rsidR="001B269F"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 w:rsidR="00BC4249"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5459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 w:rsidR="00467C2D"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 w:rsidR="00545949"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B05A64" w:rsidRPr="00B777B7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B05A64" w:rsidRDefault="00B05A64" w:rsidP="00F316D1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 w:rsidR="00467C2D"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467C2D"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="00DC7C46" w:rsidRPr="009C2D46">
        <w:rPr>
          <w:rFonts w:ascii="BTitrBold" w:cs="B Nazanin" w:hint="cs"/>
          <w:b/>
          <w:bCs/>
          <w:rtl/>
        </w:rPr>
        <w:t>طرف شرکت آب و فاضلاب استان قزوین</w:t>
      </w:r>
      <w:r w:rsidRPr="009C2D46">
        <w:rPr>
          <w:rFonts w:ascii="BTitrBold" w:cs="B Nazanin" w:hint="cs"/>
          <w:b/>
          <w:bCs/>
          <w:rtl/>
        </w:rPr>
        <w:t xml:space="preserve">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BC1304" w:rsidRPr="004C507E" w:rsidRDefault="00BC1304" w:rsidP="00467C2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="00066F5B" w:rsidRPr="00BC1304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جهت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شرکت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ارزیابی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توان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اجراي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کار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باید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نیاز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را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بسته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صورت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تشریحی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یا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مطابق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نمونه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ارائه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شده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قسمت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فرم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اطلاعاتی تنظیم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نماید</w:t>
      </w:r>
      <w:r w:rsidR="00066F5B" w:rsidRPr="004C507E">
        <w:rPr>
          <w:rFonts w:ascii="BTitrBold" w:cs="B Nazanin"/>
          <w:b/>
          <w:bCs/>
        </w:rPr>
        <w:t>.</w:t>
      </w:r>
      <w:r w:rsidR="00066F5B"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</w:t>
      </w:r>
      <w:r w:rsidR="00467C2D" w:rsidRPr="004C507E">
        <w:rPr>
          <w:rFonts w:ascii="BTitrBold" w:cs="B Nazanin" w:hint="cs"/>
          <w:b/>
          <w:bCs/>
          <w:rtl/>
        </w:rPr>
        <w:t>،</w:t>
      </w:r>
      <w:r w:rsidRPr="004C507E">
        <w:rPr>
          <w:rFonts w:ascii="BTitrBold" w:cs="B Nazanin" w:hint="cs"/>
          <w:b/>
          <w:bCs/>
          <w:rtl/>
        </w:rPr>
        <w:t xml:space="preserve"> هیچگونه ادعا و یا اعتراضی پذیرفته نمی 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lastRenderedPageBreak/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5F58F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 w:rsidR="005F58FC"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3pt;height:36.3pt" o:ole="">
            <v:imagedata r:id="rId9" o:title=""/>
          </v:shape>
          <o:OLEObject Type="Embed" ProgID="Equation.3" ShapeID="_x0000_i1025" DrawAspect="Content" ObjectID="_1665032083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005472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="00005472"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lastRenderedPageBreak/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  <w:r>
        <w:rPr>
          <w:rFonts w:cs="B Zar" w:hint="cs"/>
          <w:rtl/>
        </w:rPr>
        <w:t xml:space="preserve"> </w:t>
      </w: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>
        <w:rPr>
          <w:rFonts w:cs="B Zar" w:hint="cs"/>
          <w:sz w:val="26"/>
          <w:szCs w:val="26"/>
          <w:rtl/>
        </w:rPr>
        <w:t xml:space="preserve"> 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</w:t>
      </w:r>
      <w:r w:rsidRPr="0028178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>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A277F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>تجربه (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>) پيمانكار بر اساس اطلاعات مربوط به تعداد</w:t>
      </w:r>
      <w:r w:rsidR="003D23DA">
        <w:rPr>
          <w:rFonts w:cs="B Nazanin" w:hint="cs"/>
          <w:b/>
          <w:bCs/>
          <w:rtl/>
          <w:lang w:bidi="fa-IR"/>
        </w:rPr>
        <w:t xml:space="preserve"> </w:t>
      </w:r>
      <w:r w:rsidR="00977AE5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7C4C4E">
        <w:rPr>
          <w:rFonts w:cs="B Nazanin" w:hint="cs"/>
          <w:b/>
          <w:bCs/>
          <w:rtl/>
          <w:lang w:bidi="fa-IR"/>
        </w:rPr>
        <w:t>حداکثرپنج سال تمام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قبل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73667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  <w:r w:rsidR="00826CE8" w:rsidRPr="00B72DF8">
        <w:rPr>
          <w:rFonts w:cs="B Nazanin" w:hint="cs"/>
          <w:b/>
          <w:bCs/>
          <w:rtl/>
          <w:lang w:bidi="fa-IR"/>
        </w:rPr>
        <w:t xml:space="preserve"> 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29667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4797" w:type="pct"/>
        <w:tblInd w:w="200" w:type="dxa"/>
        <w:tblLayout w:type="fixed"/>
        <w:tblLook w:val="01E0" w:firstRow="1" w:lastRow="1" w:firstColumn="1" w:lastColumn="1" w:noHBand="0" w:noVBand="0"/>
      </w:tblPr>
      <w:tblGrid>
        <w:gridCol w:w="632"/>
        <w:gridCol w:w="1985"/>
        <w:gridCol w:w="839"/>
        <w:gridCol w:w="620"/>
        <w:gridCol w:w="1595"/>
        <w:gridCol w:w="677"/>
        <w:gridCol w:w="385"/>
        <w:gridCol w:w="385"/>
        <w:gridCol w:w="501"/>
        <w:gridCol w:w="770"/>
        <w:gridCol w:w="520"/>
      </w:tblGrid>
      <w:tr w:rsidR="00D6537A" w:rsidRPr="007553C9" w:rsidTr="00A277F5">
        <w:trPr>
          <w:cantSplit/>
          <w:trHeight w:val="3053"/>
        </w:trPr>
        <w:tc>
          <w:tcPr>
            <w:tcW w:w="355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1114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7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34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89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8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28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9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04767D" w:rsidRPr="007553C9" w:rsidTr="007F0EB1">
        <w:trPr>
          <w:trHeight w:val="2981"/>
        </w:trPr>
        <w:tc>
          <w:tcPr>
            <w:tcW w:w="355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D1C11" w:rsidRDefault="0004767D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14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4767D" w:rsidRPr="008C328C" w:rsidRDefault="0004767D" w:rsidP="008C328C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>در زمینه امداد و حوادث و رفع حوادث شبکه آب شرب و حوادث خطوط انتقال و چاهها و تاسیسات آب شرب حداقل به مبلغ پنج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27771" w:rsidRDefault="0004767D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48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04767D" w:rsidRPr="007553C9" w:rsidRDefault="0004767D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556FBB">
        <w:trPr>
          <w:trHeight w:val="1593"/>
        </w:trPr>
        <w:tc>
          <w:tcPr>
            <w:tcW w:w="355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14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8C328C" w:rsidRDefault="00B54754" w:rsidP="00C01FD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پروژه هاي انجام کار در زمینه اصلاح و توسعه شبکه و خطوط آب و فاضلاب و امور مشترکین و نصب انشعابات  شبکه آب و فاضلاب و احداث مخازن آب </w:t>
            </w:r>
            <w:r w:rsidR="00C01FDA">
              <w:rPr>
                <w:rFonts w:cs="B Mitra" w:hint="cs"/>
                <w:sz w:val="18"/>
                <w:szCs w:val="18"/>
                <w:rtl/>
              </w:rPr>
              <w:t>حداقل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به مبلغ پنج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426B97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8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556FBB">
        <w:trPr>
          <w:trHeight w:val="1148"/>
        </w:trPr>
        <w:tc>
          <w:tcPr>
            <w:tcW w:w="355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DB7741">
        <w:trPr>
          <w:trHeight w:val="173"/>
        </w:trPr>
        <w:tc>
          <w:tcPr>
            <w:tcW w:w="355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lastRenderedPageBreak/>
        <w:t>ارائه كليه مستندات و مدارك</w:t>
      </w:r>
      <w:r w:rsidR="00A7540B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 xml:space="preserve">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391F7A">
        <w:rPr>
          <w:rFonts w:cs="B Nazanin" w:hint="cs"/>
          <w:b/>
          <w:bCs/>
          <w:rtl/>
          <w:lang w:bidi="fa-IR"/>
        </w:rPr>
        <w:t xml:space="preserve"> 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2D5D2D">
        <w:rPr>
          <w:rFonts w:cs="B Nazanin" w:hint="cs"/>
          <w:b/>
          <w:bCs/>
          <w:rtl/>
          <w:lang w:bidi="fa-IR"/>
        </w:rPr>
        <w:t xml:space="preserve"> 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 w:rsidR="00507900">
        <w:rPr>
          <w:rFonts w:cs="B Nazanin" w:hint="cs"/>
          <w:b/>
          <w:bCs/>
          <w:rtl/>
          <w:lang w:bidi="fa-IR"/>
        </w:rPr>
        <w:t xml:space="preserve"> 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455016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431C3D">
        <w:rPr>
          <w:rFonts w:cs="B Nazanin" w:hint="cs"/>
          <w:b/>
          <w:bCs/>
          <w:rtl/>
          <w:lang w:bidi="fa-IR"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455016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1399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="0096478B" w:rsidRP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1E7928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500BA"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87247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Pr="00DB47AD">
        <w:rPr>
          <w:rFonts w:cs="B Nazanin" w:hint="cs"/>
          <w:rtl/>
          <w:lang w:bidi="fa-IR"/>
        </w:rPr>
        <w:t>پنج سال گذشته</w:t>
      </w:r>
      <w:r w:rsidRPr="00DB47AD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872470">
        <w:rPr>
          <w:rFonts w:cs="B Nazanin" w:hint="cs"/>
          <w:b/>
          <w:bCs/>
          <w:rtl/>
          <w:lang w:bidi="fa-IR"/>
        </w:rPr>
        <w:t xml:space="preserve">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BC3A62" w:rsidRPr="00BC3A62">
        <w:rPr>
          <w:rFonts w:cs="B Nazanin" w:hint="cs"/>
          <w:color w:val="0070C0"/>
          <w:rtl/>
          <w:lang w:bidi="fa-IR"/>
        </w:rPr>
        <w:t xml:space="preserve"> 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C855EA" w:rsidRPr="007F33DF">
        <w:rPr>
          <w:rFonts w:cs="B Nazanin" w:hint="cs"/>
          <w:rtl/>
          <w:lang w:bidi="fa-IR"/>
        </w:rPr>
        <w:t xml:space="preserve"> 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</w:t>
      </w:r>
      <w:r w:rsidR="007F33DF" w:rsidRPr="003413D1">
        <w:rPr>
          <w:rFonts w:cs="B Nazanin" w:hint="cs"/>
          <w:b/>
          <w:bCs/>
          <w:rtl/>
        </w:rPr>
        <w:t xml:space="preserve"> 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1E076C">
        <w:rPr>
          <w:rFonts w:cs="B Nazanin" w:hint="cs"/>
          <w:b/>
          <w:bCs/>
          <w:rtl/>
          <w:lang w:bidi="fa-IR"/>
        </w:rPr>
        <w:t xml:space="preserve"> 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="007F33DF" w:rsidRPr="003413D1">
        <w:rPr>
          <w:rFonts w:cs="B Nazanin" w:hint="cs"/>
          <w:b/>
          <w:bCs/>
          <w:color w:val="FF0000"/>
          <w:rtl/>
        </w:rPr>
        <w:t xml:space="preserve"> 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105333">
        <w:rPr>
          <w:rFonts w:cs="B Nazanin" w:hint="cs"/>
          <w:b/>
          <w:bCs/>
          <w:rtl/>
        </w:rPr>
        <w:t xml:space="preserve"> 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3413D1" w:rsidRDefault="007F33DF" w:rsidP="00500EAC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2B62C7" w:rsidRPr="003413D1">
        <w:rPr>
          <w:rFonts w:cs="B Nazanin" w:hint="cs"/>
          <w:b/>
          <w:bCs/>
          <w:rtl/>
        </w:rPr>
        <w:t xml:space="preserve"> </w:t>
      </w:r>
      <w:r w:rsidR="008879BE">
        <w:rPr>
          <w:rFonts w:cs="B Nazanin" w:hint="cs"/>
          <w:b/>
          <w:bCs/>
          <w:rtl/>
        </w:rPr>
        <w:t xml:space="preserve">مناقصه گران </w:t>
      </w:r>
      <w:r w:rsidR="002B62C7" w:rsidRPr="003413D1">
        <w:rPr>
          <w:rFonts w:cs="B Nazanin" w:hint="cs"/>
          <w:b/>
          <w:bCs/>
          <w:rtl/>
        </w:rPr>
        <w:t>بايستي تعداد پيمانهايي</w:t>
      </w:r>
      <w:r w:rsidR="008879BE">
        <w:rPr>
          <w:rFonts w:cs="B Nazanin" w:hint="cs"/>
          <w:b/>
          <w:bCs/>
          <w:rtl/>
        </w:rPr>
        <w:t xml:space="preserve"> را</w:t>
      </w:r>
      <w:r w:rsidR="002B62C7" w:rsidRPr="003413D1">
        <w:rPr>
          <w:rFonts w:cs="B Nazanin" w:hint="cs"/>
          <w:b/>
          <w:bCs/>
          <w:rtl/>
        </w:rPr>
        <w:t xml:space="preserve"> كه در طول </w:t>
      </w:r>
      <w:r w:rsidR="008879BE">
        <w:rPr>
          <w:rFonts w:cs="B Nazanin" w:hint="cs"/>
          <w:b/>
          <w:bCs/>
          <w:rtl/>
        </w:rPr>
        <w:t xml:space="preserve"> 5 سال گذشته </w:t>
      </w:r>
      <w:r w:rsidR="002B62C7"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413281" w:rsidRDefault="00FF6753" w:rsidP="008879BE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-</w:t>
      </w:r>
      <w:r w:rsidR="007F33DF" w:rsidRPr="00636A44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در صورت كه </w:t>
      </w:r>
      <w:r w:rsidR="008879BE">
        <w:rPr>
          <w:rFonts w:cs="B Nazanin" w:hint="cs"/>
          <w:b/>
          <w:bCs/>
          <w:color w:val="FF0000"/>
          <w:rtl/>
          <w:lang w:bidi="fa-IR"/>
        </w:rPr>
        <w:t>مناقصه گران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از كارفرمايان خود اخطار و يا نامه نارضايتي و يا ماده 46  به صورت مستند دريافت كرده باشند</w:t>
      </w:r>
      <w:r w:rsidR="005A31D6">
        <w:rPr>
          <w:rFonts w:cs="B Nazanin" w:hint="cs"/>
          <w:b/>
          <w:bCs/>
          <w:color w:val="FF0000"/>
          <w:rtl/>
          <w:lang w:bidi="fa-IR"/>
        </w:rPr>
        <w:t xml:space="preserve"> ودر اسناد ارائه داده باشند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بابت هر كدام از موارد فوق 30 امتياز منفي در نظر گرفته مي شود </w:t>
      </w:r>
    </w:p>
    <w:p w:rsidR="00852AB1" w:rsidRPr="00636A44" w:rsidRDefault="00852AB1" w:rsidP="00852AB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EF3C99">
        <w:rPr>
          <w:rFonts w:cs="B Nazanin" w:hint="cs"/>
          <w:b/>
          <w:bCs/>
          <w:rtl/>
          <w:lang w:bidi="fa-IR"/>
        </w:rPr>
        <w:t xml:space="preserve"> 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lastRenderedPageBreak/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جدول فوق بايستي توسط كارفرما،</w:t>
      </w:r>
      <w:r w:rsid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194E1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Pr="000A7E9A">
        <w:rPr>
          <w:rFonts w:cs="B Titr" w:hint="cs"/>
          <w:rtl/>
          <w:lang w:bidi="fa-IR"/>
        </w:rPr>
        <w:t xml:space="preserve"> </w:t>
      </w:r>
      <w:r w:rsidR="001E7928" w:rsidRPr="000A7E9A">
        <w:rPr>
          <w:rFonts w:cs="B Titr" w:hint="cs"/>
          <w:b/>
          <w:bCs/>
          <w:rtl/>
          <w:lang w:bidi="fa-IR"/>
        </w:rPr>
        <w:t>حسن انجام كار در كارهاي اجرا شده طي 5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58743F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>
        <w:rPr>
          <w:rFonts w:cs="Yagut" w:hint="cs"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پنج سال گذشته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  <w:r w:rsidR="002147E9" w:rsidRPr="00C52099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BB4C9E" w:rsidRPr="00860204" w:rsidRDefault="00C02E43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براي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اطلاعات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طبقه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بندي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شده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تکمیل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="00BB4C9E" w:rsidRPr="00860204">
        <w:rPr>
          <w:rFonts w:ascii="BTitrBold" w:cs="B Mitra" w:hint="cs"/>
          <w:b/>
          <w:bCs/>
          <w:rtl/>
        </w:rPr>
        <w:t xml:space="preserve"> یکی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از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شاخصهاي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مالی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زیر و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مدارك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مثبته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الزامی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است</w:t>
      </w:r>
      <w:r w:rsidR="00BB4C9E" w:rsidRPr="00860204">
        <w:rPr>
          <w:rFonts w:ascii="BTitrBold" w:cs="B Mitra"/>
          <w:b/>
          <w:bCs/>
        </w:rPr>
        <w:t xml:space="preserve"> .</w:t>
      </w:r>
    </w:p>
    <w:p w:rsidR="00C52099" w:rsidRDefault="00C02E43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             </w:t>
      </w: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Pr="00C52099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Pr="00C52099" w:rsidRDefault="00194E17" w:rsidP="00D36041">
      <w:pPr>
        <w:tabs>
          <w:tab w:val="left" w:pos="288"/>
        </w:tabs>
        <w:spacing w:line="264" w:lineRule="auto"/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lastRenderedPageBreak/>
        <w:t>جدول شماره چهار:</w:t>
      </w:r>
      <w:r w:rsidRPr="00C52099">
        <w:rPr>
          <w:rFonts w:cs="B Titr" w:hint="cs"/>
          <w:rtl/>
          <w:lang w:bidi="fa-IR"/>
        </w:rPr>
        <w:t xml:space="preserve"> 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1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648"/>
        <w:gridCol w:w="1340"/>
        <w:gridCol w:w="1186"/>
        <w:gridCol w:w="1103"/>
        <w:gridCol w:w="1186"/>
        <w:gridCol w:w="1204"/>
        <w:gridCol w:w="772"/>
        <w:gridCol w:w="1222"/>
        <w:gridCol w:w="1018"/>
        <w:gridCol w:w="2346"/>
      </w:tblGrid>
      <w:tr w:rsidR="00D36041" w:rsidRPr="00D84F0A" w:rsidTr="00D36041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45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7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07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61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413" w:type="pct"/>
            <w:shd w:val="clear" w:color="auto" w:fill="FFFF00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344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اكتسابي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از 100 امتیاز</w:t>
            </w:r>
          </w:p>
        </w:tc>
        <w:tc>
          <w:tcPr>
            <w:tcW w:w="793" w:type="pct"/>
            <w:shd w:val="clear" w:color="auto" w:fill="FFFF00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>شماره صفحات مستندات</w:t>
            </w:r>
            <w:r w:rsidR="00060146"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 xml:space="preserve"> در پاکت "ب"</w:t>
            </w: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74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00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505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B4C9E" w:rsidRDefault="00BB4C9E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BB4C9E" w:rsidRDefault="00BB4C9E" w:rsidP="00BB4C9E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BB4C9E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D36041" w:rsidRPr="00D36041" w:rsidRDefault="00BB4C9E" w:rsidP="00032995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  <w:r w:rsidR="003A0134"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3A0134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 </w:t>
      </w:r>
      <w:r w:rsidR="00C52099" w:rsidRPr="00D36041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D4762E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C02E43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</w:t>
      </w:r>
      <w:r w:rsidR="00194E17"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94E17" w:rsidRPr="00044BF1">
        <w:rPr>
          <w:rFonts w:cs="Yagut" w:hint="cs"/>
          <w:rtl/>
          <w:lang w:bidi="fa-IR"/>
        </w:rPr>
        <w:t xml:space="preserve"> 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0740F1"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D44067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965813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>
        <w:rPr>
          <w:rFonts w:ascii="BTitrBold" w:cs="B Mitra" w:hint="cs"/>
          <w:b/>
          <w:bCs/>
          <w:rtl/>
        </w:rPr>
        <w:t xml:space="preserve">- </w:t>
      </w:r>
      <w:r w:rsidR="007E52F4" w:rsidRPr="00A34D6B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>
        <w:rPr>
          <w:rFonts w:ascii="BTitrBold" w:cs="B Mitra" w:hint="cs"/>
          <w:b/>
          <w:bCs/>
          <w:rtl/>
        </w:rPr>
        <w:t xml:space="preserve"> )</w:t>
      </w:r>
      <w:r w:rsidR="007E52F4" w:rsidRPr="00A34D6B">
        <w:rPr>
          <w:rFonts w:ascii="BTitrBold" w:cs="B Mitra" w:hint="cs"/>
          <w:b/>
          <w:bCs/>
          <w:rtl/>
        </w:rPr>
        <w:t>الزامیست.</w:t>
      </w:r>
      <w:r w:rsidR="00C37E4F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>
        <w:rPr>
          <w:rFonts w:ascii="BTitrBold" w:cs="B Mitra" w:hint="cs"/>
          <w:b/>
          <w:bCs/>
          <w:rtl/>
        </w:rPr>
        <w:t xml:space="preserve"> ،</w:t>
      </w:r>
      <w:r w:rsidR="00C37E4F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757630" w:rsidRPr="00A34D6B">
        <w:rPr>
          <w:rFonts w:ascii="BTitrBold" w:cs="B Mitra" w:hint="cs"/>
          <w:b/>
          <w:bCs/>
          <w:color w:val="FF0000"/>
          <w:rtl/>
        </w:rPr>
        <w:t xml:space="preserve">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7E52F4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9654D1">
        <w:rPr>
          <w:rFonts w:ascii="BTitrBold" w:cs="B Mitra" w:hint="cs"/>
          <w:b/>
          <w:bCs/>
          <w:rtl/>
        </w:rPr>
        <w:t xml:space="preserve">   </w:t>
      </w:r>
      <w:r w:rsidR="00C02E43"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</w:t>
      </w: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D4762E" w:rsidRPr="00940FD6">
        <w:rPr>
          <w:rFonts w:cs="B Nazanin" w:hint="cs"/>
          <w:b/>
          <w:bCs/>
          <w:rtl/>
          <w:lang w:bidi="fa-IR"/>
        </w:rPr>
        <w:t>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  <w:t xml:space="preserve"> </w:t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054D3F" w:rsidRPr="00940FD6">
        <w:rPr>
          <w:rFonts w:cs="B Nazanin" w:hint="cs"/>
          <w:b/>
          <w:bCs/>
          <w:rtl/>
          <w:lang w:bidi="fa-IR"/>
        </w:rPr>
        <w:t xml:space="preserve">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</w:t>
      </w:r>
      <w:r w:rsidR="00E66BB0">
        <w:rPr>
          <w:rFonts w:cs="B Nazanin" w:hint="cs"/>
          <w:b/>
          <w:bCs/>
          <w:rtl/>
          <w:lang w:bidi="fa-IR"/>
        </w:rPr>
        <w:t xml:space="preserve"> </w:t>
      </w:r>
      <w:r w:rsidR="00214EA2" w:rsidRPr="00940FD6">
        <w:rPr>
          <w:rFonts w:cs="B Nazanin" w:hint="cs"/>
          <w:b/>
          <w:bCs/>
          <w:rtl/>
          <w:lang w:bidi="fa-IR"/>
        </w:rPr>
        <w:t>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8A5239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C423AF"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</w:t>
      </w:r>
      <w:r w:rsidR="00D76179" w:rsidRPr="00940FD6">
        <w:rPr>
          <w:rFonts w:cs="B Nazanin" w:hint="cs"/>
          <w:b/>
          <w:bCs/>
          <w:rtl/>
          <w:lang w:bidi="fa-IR"/>
        </w:rPr>
        <w:t>يك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</w:t>
      </w:r>
      <w:r w:rsidR="00C55397">
        <w:rPr>
          <w:rFonts w:cs="B Zar" w:hint="cs"/>
          <w:sz w:val="28"/>
          <w:szCs w:val="28"/>
          <w:rtl/>
        </w:rPr>
        <w:t xml:space="preserve"> </w:t>
      </w:r>
      <w:r w:rsidR="00E16CB4">
        <w:rPr>
          <w:rFonts w:cs="B Zar" w:hint="cs"/>
          <w:sz w:val="28"/>
          <w:szCs w:val="28"/>
          <w:rtl/>
        </w:rPr>
        <w:t>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467AE8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  <w:r w:rsidR="00B906AC">
        <w:rPr>
          <w:rFonts w:cs="B Nazanin" w:hint="cs"/>
          <w:b/>
          <w:bCs/>
          <w:rtl/>
          <w:lang w:bidi="fa-IR"/>
        </w:rPr>
        <w:t xml:space="preserve"> 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76336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پنج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B74703">
        <w:rPr>
          <w:rFonts w:cs="B Nazanin" w:hint="cs"/>
          <w:b/>
          <w:bCs/>
          <w:rtl/>
          <w:lang w:bidi="fa-IR"/>
        </w:rPr>
        <w:t xml:space="preserve">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5100B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</w:t>
      </w:r>
      <w:r w:rsidR="001325F4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="00007A38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5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044BF1">
        <w:trPr>
          <w:trHeight w:val="457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044BF1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9654D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50 درصد</w:t>
            </w:r>
            <w:r w:rsidRPr="00AF07F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044BF1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lastRenderedPageBreak/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Pr="0058743F">
              <w:rPr>
                <w:rFonts w:cs="B Nazanin"/>
                <w:b/>
                <w:bCs/>
                <w:color w:val="FF0000"/>
                <w:rtl/>
                <w:lang w:bidi="fa-IR"/>
              </w:rPr>
              <w:t xml:space="preserve"> 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  <w:r w:rsidR="004B1D4D">
        <w:rPr>
          <w:rFonts w:cs="B Titr" w:hint="cs"/>
          <w:b/>
          <w:bCs/>
          <w:rtl/>
        </w:rPr>
        <w:t xml:space="preserve">    </w:t>
      </w:r>
    </w:p>
    <w:p w:rsidR="000070C9" w:rsidRPr="00F90F9F" w:rsidRDefault="000070C9" w:rsidP="00007A38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C613FC">
        <w:rPr>
          <w:rFonts w:cs="B Nazanin" w:hint="cs"/>
          <w:b/>
          <w:bCs/>
          <w:rtl/>
          <w:lang w:bidi="fa-IR"/>
        </w:rPr>
        <w:t xml:space="preserve">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C613FC">
        <w:rPr>
          <w:rFonts w:ascii="BTitrBold" w:cs="B Mitra" w:hint="cs"/>
          <w:b/>
          <w:bCs/>
          <w:sz w:val="24"/>
          <w:szCs w:val="24"/>
          <w:rtl/>
          <w:lang w:bidi="fa-IR"/>
        </w:rPr>
        <w:t xml:space="preserve"> 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(1398-1394)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</w:p>
    <w:p w:rsidR="000070C9" w:rsidRDefault="00A36974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 xml:space="preserve">    </w:t>
      </w:r>
      <w:r w:rsidR="000070C9"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5A24D9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</w:rPr>
        <w:t xml:space="preserve">      </w:t>
      </w:r>
      <w:r w:rsidR="009C3045"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="009C3045"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3A038C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3A038C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3A038C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3A038C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874129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3A038C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3A038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.3pt;height:13.8pt" o:ole="">
                  <v:imagedata r:id="rId11" o:title=""/>
                </v:shape>
                <o:OLEObject Type="Embed" ProgID="Equation.3" ShapeID="_x0000_i1026" DrawAspect="Content" ObjectID="_1665032084" r:id="rId12"/>
              </w:object>
            </w:r>
          </w:p>
        </w:tc>
      </w:tr>
      <w:tr w:rsidR="0045197C" w:rsidRPr="00D84F0A" w:rsidTr="003A038C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BA1B2B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3" o:title=""/>
          </v:shape>
          <o:OLEObject Type="Embed" ProgID="Equation.3" ShapeID="_x0000_s1032" DrawAspect="Content" ObjectID="_1665032087" r:id="rId14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>
        <w:rPr>
          <w:rFonts w:cs="B Zar" w:hint="cs"/>
          <w:b/>
          <w:bCs/>
          <w:rtl/>
        </w:rPr>
        <w:t xml:space="preserve">      </w:t>
      </w:r>
      <w:r w:rsidRPr="00D84F0A">
        <w:rPr>
          <w:rFonts w:cs="B Zar" w:hint="cs"/>
          <w:b/>
          <w:bCs/>
          <w:rtl/>
        </w:rPr>
        <w:t xml:space="preserve">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05pt;height:21.9pt" o:ole="">
            <v:imagedata r:id="rId15" o:title=""/>
          </v:shape>
          <o:OLEObject Type="Embed" ProgID="Equation.3" ShapeID="_x0000_i1027" DrawAspect="Content" ObjectID="_1665032085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05pt;height:21.9pt" o:ole="">
            <v:imagedata r:id="rId15" o:title=""/>
          </v:shape>
          <o:OLEObject Type="Embed" ProgID="Equation.3" ShapeID="_x0000_i1028" DrawAspect="Content" ObjectID="_1665032086" r:id="rId17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  <w:r>
        <w:rPr>
          <w:rFonts w:cs="B Zar"/>
          <w:b/>
          <w:bCs/>
        </w:rPr>
        <w:t xml:space="preserve">                  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>مهر و امضاء و نام و نام خانوادگی دارندگان امضاء مجاز و مهر تعهدآور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        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B2B" w:rsidRDefault="00BA1B2B">
      <w:r>
        <w:separator/>
      </w:r>
    </w:p>
  </w:endnote>
  <w:endnote w:type="continuationSeparator" w:id="0">
    <w:p w:rsidR="00BA1B2B" w:rsidRDefault="00BA1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4A78">
      <w:rPr>
        <w:noProof/>
        <w:rtl/>
      </w:rPr>
      <w:t>1</w:t>
    </w:r>
    <w:r>
      <w:rPr>
        <w:noProof/>
      </w:rPr>
      <w:fldChar w:fldCharType="end"/>
    </w:r>
  </w:p>
  <w:p w:rsidR="00C4676D" w:rsidRDefault="00C467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AF4A78">
      <w:rPr>
        <w:rStyle w:val="PageNumber"/>
        <w:noProof/>
        <w:rtl/>
      </w:rPr>
      <w:t>27</w: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B2B" w:rsidRDefault="00BA1B2B">
      <w:r>
        <w:separator/>
      </w:r>
    </w:p>
  </w:footnote>
  <w:footnote w:type="continuationSeparator" w:id="0">
    <w:p w:rsidR="00BA1B2B" w:rsidRDefault="00BA1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CC3"/>
    <w:rsid w:val="000B50E0"/>
    <w:rsid w:val="000B5FA6"/>
    <w:rsid w:val="000B60EA"/>
    <w:rsid w:val="000C65BA"/>
    <w:rsid w:val="000C7DAD"/>
    <w:rsid w:val="000D57D8"/>
    <w:rsid w:val="000D7CD0"/>
    <w:rsid w:val="000E457D"/>
    <w:rsid w:val="000E4F04"/>
    <w:rsid w:val="000E532D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C0C55"/>
    <w:rsid w:val="001C7F3A"/>
    <w:rsid w:val="001D174E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3FE0"/>
    <w:rsid w:val="00267188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5301"/>
    <w:rsid w:val="003323F2"/>
    <w:rsid w:val="003334D5"/>
    <w:rsid w:val="00335401"/>
    <w:rsid w:val="00335AF8"/>
    <w:rsid w:val="003413D1"/>
    <w:rsid w:val="003422A1"/>
    <w:rsid w:val="003462FE"/>
    <w:rsid w:val="0035387A"/>
    <w:rsid w:val="00356B87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4ED1"/>
    <w:rsid w:val="003E3D02"/>
    <w:rsid w:val="003E52DD"/>
    <w:rsid w:val="003E5979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22F2B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78F8"/>
    <w:rsid w:val="004A042B"/>
    <w:rsid w:val="004B1D4D"/>
    <w:rsid w:val="004B45B1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74265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CBB"/>
    <w:rsid w:val="005C6DBF"/>
    <w:rsid w:val="005D17A1"/>
    <w:rsid w:val="005D50CE"/>
    <w:rsid w:val="005E493F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380"/>
    <w:rsid w:val="00634D3D"/>
    <w:rsid w:val="00636A44"/>
    <w:rsid w:val="00636F74"/>
    <w:rsid w:val="00642842"/>
    <w:rsid w:val="006433DC"/>
    <w:rsid w:val="00644D20"/>
    <w:rsid w:val="00647A83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28C"/>
    <w:rsid w:val="008C76BB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48E7"/>
    <w:rsid w:val="00956999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49C0"/>
    <w:rsid w:val="009D4B77"/>
    <w:rsid w:val="009D5302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8E9"/>
    <w:rsid w:val="00AD7229"/>
    <w:rsid w:val="00AE474C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4CD6"/>
    <w:rsid w:val="00B353FB"/>
    <w:rsid w:val="00B40186"/>
    <w:rsid w:val="00B46056"/>
    <w:rsid w:val="00B52322"/>
    <w:rsid w:val="00B530B9"/>
    <w:rsid w:val="00B53D67"/>
    <w:rsid w:val="00B54754"/>
    <w:rsid w:val="00B60899"/>
    <w:rsid w:val="00B6190F"/>
    <w:rsid w:val="00B651C4"/>
    <w:rsid w:val="00B667D6"/>
    <w:rsid w:val="00B72090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55F6"/>
    <w:rsid w:val="00E16CB4"/>
    <w:rsid w:val="00E20154"/>
    <w:rsid w:val="00E20BC7"/>
    <w:rsid w:val="00E21A6B"/>
    <w:rsid w:val="00E27FF8"/>
    <w:rsid w:val="00E32094"/>
    <w:rsid w:val="00E32900"/>
    <w:rsid w:val="00E334C7"/>
    <w:rsid w:val="00E422CB"/>
    <w:rsid w:val="00E429DA"/>
    <w:rsid w:val="00E43AA1"/>
    <w:rsid w:val="00E543C9"/>
    <w:rsid w:val="00E63AE9"/>
    <w:rsid w:val="00E652F2"/>
    <w:rsid w:val="00E66BB0"/>
    <w:rsid w:val="00E70025"/>
    <w:rsid w:val="00E91653"/>
    <w:rsid w:val="00E94E51"/>
    <w:rsid w:val="00EA3E24"/>
    <w:rsid w:val="00EA481E"/>
    <w:rsid w:val="00EB2E2B"/>
    <w:rsid w:val="00EB351E"/>
    <w:rsid w:val="00EB4079"/>
    <w:rsid w:val="00EB4915"/>
    <w:rsid w:val="00EB71F5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307F7"/>
    <w:rsid w:val="00F31265"/>
    <w:rsid w:val="00F316D1"/>
    <w:rsid w:val="00F33FE7"/>
    <w:rsid w:val="00F3622B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4803"/>
    <w:rsid w:val="00FB5DD5"/>
    <w:rsid w:val="00FB62EC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5:docId w15:val="{6A5A8AA6-3430-42E3-972E-7522CA2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006F37-6B06-41E5-97FF-C1A738635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27</Pages>
  <Words>4044</Words>
  <Characters>23052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327</cp:revision>
  <cp:lastPrinted>2020-05-17T08:57:00Z</cp:lastPrinted>
  <dcterms:created xsi:type="dcterms:W3CDTF">2020-01-28T11:15:00Z</dcterms:created>
  <dcterms:modified xsi:type="dcterms:W3CDTF">2020-10-24T04:38:00Z</dcterms:modified>
</cp:coreProperties>
</file>